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2CD5F" w14:textId="788B35AF" w:rsidR="002D5F70" w:rsidRDefault="00BD728B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02D5E5B5" wp14:editId="400E1D6A">
            <wp:extent cx="2517140" cy="688340"/>
            <wp:effectExtent l="0" t="0" r="0" b="0"/>
            <wp:docPr id="34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D8023" w14:textId="77777777" w:rsidR="002D5F70" w:rsidRDefault="002D5F70">
      <w:pPr>
        <w:spacing w:line="240" w:lineRule="exact"/>
      </w:pPr>
    </w:p>
    <w:p w14:paraId="4769BB9F" w14:textId="77777777" w:rsidR="002D5F70" w:rsidRDefault="002D5F70">
      <w:pPr>
        <w:spacing w:line="240" w:lineRule="exact"/>
      </w:pPr>
    </w:p>
    <w:p w14:paraId="3E4F94CF" w14:textId="77777777" w:rsidR="002D5F70" w:rsidRDefault="002D5F70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D5F70" w14:paraId="153F2F2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E0C9F12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4010585" w14:textId="77777777" w:rsidR="002D5F70" w:rsidRDefault="00BD728B">
      <w:pPr>
        <w:spacing w:line="240" w:lineRule="exact"/>
      </w:pPr>
      <w:r>
        <w:t xml:space="preserve"> </w:t>
      </w:r>
    </w:p>
    <w:p w14:paraId="263DA00D" w14:textId="77777777" w:rsidR="002D5F70" w:rsidRDefault="002D5F70">
      <w:pPr>
        <w:spacing w:after="120" w:line="240" w:lineRule="exact"/>
      </w:pPr>
    </w:p>
    <w:p w14:paraId="2531D94F" w14:textId="77777777" w:rsidR="002D5F70" w:rsidRDefault="00BD728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46A633A" w14:textId="77777777" w:rsidR="002D5F70" w:rsidRDefault="002D5F70">
      <w:pPr>
        <w:spacing w:line="240" w:lineRule="exact"/>
      </w:pPr>
    </w:p>
    <w:p w14:paraId="006D4C0A" w14:textId="77777777" w:rsidR="002D5F70" w:rsidRDefault="002D5F70">
      <w:pPr>
        <w:spacing w:line="240" w:lineRule="exact"/>
      </w:pPr>
    </w:p>
    <w:p w14:paraId="7C0AD64C" w14:textId="77777777" w:rsidR="002D5F70" w:rsidRDefault="002D5F70">
      <w:pPr>
        <w:spacing w:line="240" w:lineRule="exact"/>
      </w:pPr>
    </w:p>
    <w:p w14:paraId="46CC2A6E" w14:textId="52BB05D6" w:rsidR="002D5F70" w:rsidRDefault="00E833C1">
      <w:pPr>
        <w:spacing w:line="240" w:lineRule="exact"/>
      </w:pPr>
      <w:r>
        <w:rPr>
          <w:rFonts w:ascii="ArialMT" w:hAnsi="ArialMT" w:cs="ArialMT"/>
          <w:color w:val="FF0000"/>
          <w:sz w:val="22"/>
          <w:lang w:val="fr-FR"/>
        </w:rPr>
        <w:t>Cette version modifiable de l'acte d'engagement est intégrée au DCE afin de permettre aux candidats de le compléter plus aisément. Seuls les champs libres, destinés à être complétés par les candidats, devront être modifiés. La trame de ce document devra rester en tous points identique au document "</w:t>
      </w:r>
      <w:proofErr w:type="spellStart"/>
      <w:r>
        <w:rPr>
          <w:rFonts w:ascii="ArialMT" w:hAnsi="ArialMT" w:cs="ArialMT"/>
          <w:color w:val="FF0000"/>
          <w:sz w:val="22"/>
          <w:lang w:val="fr-FR"/>
        </w:rPr>
        <w:t>pdf</w:t>
      </w:r>
      <w:proofErr w:type="spellEnd"/>
      <w:r>
        <w:rPr>
          <w:rFonts w:ascii="ArialMT" w:hAnsi="ArialMT" w:cs="ArialMT"/>
          <w:color w:val="FF0000"/>
          <w:sz w:val="22"/>
          <w:lang w:val="fr-FR"/>
        </w:rPr>
        <w:t>" mis à disposition dans le DCE téléchargé sur la plateforme PLACE. Toute autre modification apportée par le candidat sera considérée comme irrégulière et rendra nul le document modifié</w:t>
      </w:r>
    </w:p>
    <w:p w14:paraId="218496E7" w14:textId="77777777" w:rsidR="002D5F70" w:rsidRDefault="002D5F70">
      <w:pPr>
        <w:spacing w:line="240" w:lineRule="exact"/>
      </w:pPr>
    </w:p>
    <w:p w14:paraId="769DE6B2" w14:textId="77777777" w:rsidR="002D5F70" w:rsidRDefault="002D5F70">
      <w:pPr>
        <w:spacing w:line="240" w:lineRule="exact"/>
      </w:pPr>
    </w:p>
    <w:p w14:paraId="22A81F25" w14:textId="77777777" w:rsidR="002D5F70" w:rsidRDefault="002D5F70">
      <w:pPr>
        <w:spacing w:line="240" w:lineRule="exact"/>
      </w:pPr>
    </w:p>
    <w:p w14:paraId="26BF983F" w14:textId="77777777" w:rsidR="002D5F70" w:rsidRDefault="002D5F7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5F70" w14:paraId="086850C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F407F82" w14:textId="77777777" w:rsidR="002D5F70" w:rsidRDefault="00BD728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de mise en conformité accessibilité du Centre de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Semi Liberté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(CSL) de Montargis</w:t>
            </w:r>
          </w:p>
        </w:tc>
      </w:tr>
    </w:tbl>
    <w:p w14:paraId="24F0B99E" w14:textId="77777777" w:rsidR="002D5F70" w:rsidRDefault="00BD728B">
      <w:pPr>
        <w:spacing w:line="240" w:lineRule="exact"/>
      </w:pPr>
      <w:r>
        <w:t xml:space="preserve"> </w:t>
      </w:r>
    </w:p>
    <w:p w14:paraId="420DA084" w14:textId="77777777" w:rsidR="002D5F70" w:rsidRDefault="002D5F70">
      <w:pPr>
        <w:spacing w:line="240" w:lineRule="exact"/>
      </w:pPr>
    </w:p>
    <w:p w14:paraId="1FD3B1AF" w14:textId="77777777" w:rsidR="002D5F70" w:rsidRDefault="002D5F70">
      <w:pPr>
        <w:spacing w:line="240" w:lineRule="exact"/>
      </w:pPr>
    </w:p>
    <w:p w14:paraId="1754563A" w14:textId="77777777" w:rsidR="002D5F70" w:rsidRDefault="002D5F70">
      <w:pPr>
        <w:spacing w:line="240" w:lineRule="exact"/>
      </w:pPr>
    </w:p>
    <w:p w14:paraId="197CA5C5" w14:textId="77777777" w:rsidR="002D5F70" w:rsidRDefault="002D5F70">
      <w:pPr>
        <w:spacing w:line="240" w:lineRule="exact"/>
      </w:pPr>
    </w:p>
    <w:p w14:paraId="5DF040F8" w14:textId="77777777" w:rsidR="002D5F70" w:rsidRDefault="002D5F70">
      <w:pPr>
        <w:spacing w:after="40" w:line="240" w:lineRule="exact"/>
      </w:pPr>
    </w:p>
    <w:p w14:paraId="64F95218" w14:textId="77777777" w:rsidR="002D5F70" w:rsidRDefault="00BD728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5F70" w14:paraId="448C1A8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F410E" w14:textId="77777777" w:rsidR="002D5F70" w:rsidRDefault="00BD728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F83DC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7D98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EE90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C296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9B7C7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2B7B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CD86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5E3B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BB07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BADC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500F" w14:textId="77777777" w:rsidR="002D5F70" w:rsidRDefault="002D5F70">
            <w:pPr>
              <w:rPr>
                <w:sz w:val="2"/>
              </w:rPr>
            </w:pPr>
          </w:p>
        </w:tc>
      </w:tr>
      <w:tr w:rsidR="002D5F70" w14:paraId="785E98A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2B05" w14:textId="77777777" w:rsidR="002D5F70" w:rsidRDefault="002D5F7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3C53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305E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557F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4D0B1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CAD4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E728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AF97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40753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E254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8EEE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EED8" w14:textId="77777777" w:rsidR="002D5F70" w:rsidRDefault="00BD72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D5F70" w14:paraId="0165B18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23BF" w14:textId="77777777" w:rsidR="002D5F70" w:rsidRDefault="002D5F7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3193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B06A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AE72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22062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28B0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2E704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60B1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B30C7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B3142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B18D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62BD" w14:textId="77777777" w:rsidR="002D5F70" w:rsidRDefault="002D5F70">
            <w:pPr>
              <w:rPr>
                <w:sz w:val="2"/>
              </w:rPr>
            </w:pPr>
          </w:p>
        </w:tc>
      </w:tr>
    </w:tbl>
    <w:p w14:paraId="35581263" w14:textId="77777777" w:rsidR="002D5F70" w:rsidRDefault="00BD728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5F70" w14:paraId="79EB42E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2CFD" w14:textId="77777777" w:rsidR="002D5F70" w:rsidRDefault="00BD728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8A21D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1D92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1728217" w14:textId="77777777" w:rsidR="002D5F70" w:rsidRDefault="00BD728B">
      <w:pPr>
        <w:spacing w:line="240" w:lineRule="exact"/>
      </w:pPr>
      <w:r>
        <w:t xml:space="preserve"> </w:t>
      </w:r>
    </w:p>
    <w:p w14:paraId="30F59508" w14:textId="77777777" w:rsidR="002D5F70" w:rsidRDefault="002D5F70">
      <w:pPr>
        <w:spacing w:after="100" w:line="240" w:lineRule="exact"/>
      </w:pPr>
    </w:p>
    <w:p w14:paraId="5863243A" w14:textId="77777777" w:rsidR="002D5F70" w:rsidRDefault="00BD728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6E71BA7B" w14:textId="77777777" w:rsidR="002D5F70" w:rsidRDefault="00BD728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1C0BF2BA" w14:textId="77777777" w:rsidR="002D5F70" w:rsidRDefault="00BD728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116B8EBB" w14:textId="77777777" w:rsidR="002D5F70" w:rsidRDefault="00BD728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664F6882" w14:textId="77777777" w:rsidR="002D5F70" w:rsidRDefault="00BD728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0F69357F" w14:textId="77777777" w:rsidR="002D5F70" w:rsidRDefault="002D5F7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D5F70">
          <w:pgSz w:w="11900" w:h="16840"/>
          <w:pgMar w:top="1400" w:right="1140" w:bottom="1440" w:left="1140" w:header="1400" w:footer="1440" w:gutter="0"/>
          <w:cols w:space="708"/>
        </w:sectPr>
      </w:pPr>
    </w:p>
    <w:p w14:paraId="5235FCB0" w14:textId="77777777" w:rsidR="002D5F70" w:rsidRDefault="002D5F7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5F70" w14:paraId="3621370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C493" w14:textId="77777777" w:rsidR="002D5F70" w:rsidRDefault="00BD728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D5F70" w14:paraId="0D23B4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2305" w14:textId="77777777" w:rsidR="002D5F70" w:rsidRDefault="002D5F70">
            <w:pPr>
              <w:spacing w:line="140" w:lineRule="exact"/>
              <w:rPr>
                <w:sz w:val="14"/>
              </w:rPr>
            </w:pPr>
          </w:p>
          <w:p w14:paraId="17D14CFD" w14:textId="54115038" w:rsidR="002D5F70" w:rsidRDefault="00BD72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DA0F3E" wp14:editId="5CB2D7E5">
                  <wp:extent cx="226060" cy="226060"/>
                  <wp:effectExtent l="0" t="0" r="0" b="0"/>
                  <wp:docPr id="3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3350A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6A423" w14:textId="77777777" w:rsidR="002D5F70" w:rsidRDefault="00BD728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mise en conformité accessibilité du Centre de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Semi Liberté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(CSL) de Montargis</w:t>
            </w:r>
          </w:p>
        </w:tc>
      </w:tr>
      <w:tr w:rsidR="002D5F70" w14:paraId="43FD195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186DA" w14:textId="77777777" w:rsidR="002D5F70" w:rsidRDefault="002D5F70">
            <w:pPr>
              <w:spacing w:line="140" w:lineRule="exact"/>
              <w:rPr>
                <w:sz w:val="14"/>
              </w:rPr>
            </w:pPr>
          </w:p>
          <w:p w14:paraId="3FFF11FE" w14:textId="4E28AA25" w:rsidR="002D5F70" w:rsidRDefault="00BD72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87AA18" wp14:editId="0198635D">
                  <wp:extent cx="226060" cy="226060"/>
                  <wp:effectExtent l="0" t="0" r="0" b="0"/>
                  <wp:docPr id="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0AFA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DA28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D5F70" w14:paraId="5DB298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9651" w14:textId="77777777" w:rsidR="002D5F70" w:rsidRDefault="002D5F70">
            <w:pPr>
              <w:spacing w:line="140" w:lineRule="exact"/>
              <w:rPr>
                <w:sz w:val="14"/>
              </w:rPr>
            </w:pPr>
          </w:p>
          <w:p w14:paraId="470D8E99" w14:textId="52D57FCD" w:rsidR="002D5F70" w:rsidRDefault="00BD72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955322" wp14:editId="79F54E9B">
                  <wp:extent cx="226060" cy="226060"/>
                  <wp:effectExtent l="0" t="0" r="0" b="0"/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45002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E410F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D5F70" w14:paraId="5EB793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A3A4A" w14:textId="77777777" w:rsidR="002D5F70" w:rsidRDefault="002D5F70">
            <w:pPr>
              <w:spacing w:line="140" w:lineRule="exact"/>
              <w:rPr>
                <w:sz w:val="14"/>
              </w:rPr>
            </w:pPr>
          </w:p>
          <w:p w14:paraId="7CEAF1B6" w14:textId="501FC739" w:rsidR="002D5F70" w:rsidRDefault="00BD72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A2EEDB" wp14:editId="241EE40F">
                  <wp:extent cx="226060" cy="22606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7C23C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36006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D5F70" w14:paraId="02298E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67DD" w14:textId="77777777" w:rsidR="002D5F70" w:rsidRDefault="002D5F70">
            <w:pPr>
              <w:spacing w:line="140" w:lineRule="exact"/>
              <w:rPr>
                <w:sz w:val="14"/>
              </w:rPr>
            </w:pPr>
          </w:p>
          <w:p w14:paraId="3C4A52B7" w14:textId="08F91AE4" w:rsidR="002D5F70" w:rsidRDefault="00BD72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B2278B" wp14:editId="6BF3F489">
                  <wp:extent cx="226060" cy="2260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109F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E6AF1" w14:textId="7A0A90C3" w:rsidR="002D5F70" w:rsidRDefault="001051C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D5F70" w14:paraId="598E82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8DE04" w14:textId="77777777" w:rsidR="002D5F70" w:rsidRDefault="002D5F70">
            <w:pPr>
              <w:spacing w:line="140" w:lineRule="exact"/>
              <w:rPr>
                <w:sz w:val="14"/>
              </w:rPr>
            </w:pPr>
          </w:p>
          <w:p w14:paraId="5F49FD1F" w14:textId="0BF6FDD6" w:rsidR="002D5F70" w:rsidRDefault="00BD72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A3CD1F" wp14:editId="76573E1E">
                  <wp:extent cx="226060" cy="2260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6B8C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B92B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D5F70" w14:paraId="7C69CF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FD6F" w14:textId="77777777" w:rsidR="002D5F70" w:rsidRDefault="002D5F70">
            <w:pPr>
              <w:spacing w:line="180" w:lineRule="exact"/>
              <w:rPr>
                <w:sz w:val="18"/>
              </w:rPr>
            </w:pPr>
          </w:p>
          <w:p w14:paraId="583274E6" w14:textId="6AC191A0" w:rsidR="002D5F70" w:rsidRDefault="00BD72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00FEFE" wp14:editId="28A8B201">
                  <wp:extent cx="226060" cy="16446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72C6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D9E5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D5F70" w14:paraId="2FA51D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D777B" w14:textId="77777777" w:rsidR="002D5F70" w:rsidRDefault="002D5F70">
            <w:pPr>
              <w:spacing w:line="140" w:lineRule="exact"/>
              <w:rPr>
                <w:sz w:val="14"/>
              </w:rPr>
            </w:pPr>
          </w:p>
          <w:p w14:paraId="56BD5750" w14:textId="0C7E854A" w:rsidR="002D5F70" w:rsidRDefault="00BD72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434338" wp14:editId="27FC1356">
                  <wp:extent cx="226060" cy="2260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89A8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CA98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D5F70" w14:paraId="503335E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839E5" w14:textId="77777777" w:rsidR="002D5F70" w:rsidRDefault="002D5F70">
            <w:pPr>
              <w:spacing w:line="140" w:lineRule="exact"/>
              <w:rPr>
                <w:sz w:val="14"/>
              </w:rPr>
            </w:pPr>
          </w:p>
          <w:p w14:paraId="5B51FB61" w14:textId="33CABF5C" w:rsidR="002D5F70" w:rsidRDefault="00BD72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76993B" wp14:editId="0EE64AA8">
                  <wp:extent cx="226060" cy="2260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5955F" w14:textId="77777777" w:rsidR="002D5F70" w:rsidRDefault="00BD728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5540" w14:textId="77777777" w:rsidR="002D5F70" w:rsidRDefault="00BD728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7A83EA7" w14:textId="77777777" w:rsidR="002D5F70" w:rsidRDefault="002D5F70">
      <w:pPr>
        <w:sectPr w:rsidR="002D5F70">
          <w:pgSz w:w="11900" w:h="16840"/>
          <w:pgMar w:top="1440" w:right="1160" w:bottom="1440" w:left="1140" w:header="1440" w:footer="1440" w:gutter="0"/>
          <w:cols w:space="708"/>
        </w:sectPr>
      </w:pPr>
    </w:p>
    <w:p w14:paraId="6C78750A" w14:textId="77777777" w:rsidR="002D5F70" w:rsidRDefault="00BD728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42F01CF" w14:textId="77777777" w:rsidR="002D5F70" w:rsidRDefault="002D5F70">
      <w:pPr>
        <w:spacing w:after="80" w:line="240" w:lineRule="exact"/>
      </w:pPr>
    </w:p>
    <w:p w14:paraId="10DBD1F2" w14:textId="2F1C670C" w:rsidR="00BD728B" w:rsidRDefault="00BD72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930601" w:history="1">
        <w:r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_Toc201930601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C11D853" w14:textId="49C08D62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02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_Toc201930602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5</w:t>
        </w:r>
        <w:r w:rsidR="00BD728B">
          <w:rPr>
            <w:noProof/>
          </w:rPr>
          <w:fldChar w:fldCharType="end"/>
        </w:r>
      </w:hyperlink>
    </w:p>
    <w:p w14:paraId="33A4D6D3" w14:textId="088F89F7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03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_Toc201930603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5</w:t>
        </w:r>
        <w:r w:rsidR="00BD728B">
          <w:rPr>
            <w:noProof/>
          </w:rPr>
          <w:fldChar w:fldCharType="end"/>
        </w:r>
      </w:hyperlink>
    </w:p>
    <w:p w14:paraId="55D21AFE" w14:textId="782B98BF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04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_Toc201930604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7</w:t>
        </w:r>
        <w:r w:rsidR="00BD728B">
          <w:rPr>
            <w:noProof/>
          </w:rPr>
          <w:fldChar w:fldCharType="end"/>
        </w:r>
      </w:hyperlink>
    </w:p>
    <w:p w14:paraId="786260E8" w14:textId="0925D295" w:rsidR="00BD728B" w:rsidRDefault="00E833C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05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_Toc201930605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7</w:t>
        </w:r>
        <w:r w:rsidR="00BD728B">
          <w:rPr>
            <w:noProof/>
          </w:rPr>
          <w:fldChar w:fldCharType="end"/>
        </w:r>
      </w:hyperlink>
    </w:p>
    <w:p w14:paraId="712C8DED" w14:textId="5AFEFBF3" w:rsidR="00BD728B" w:rsidRDefault="00E833C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06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_Toc201930606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7</w:t>
        </w:r>
        <w:r w:rsidR="00BD728B">
          <w:rPr>
            <w:noProof/>
          </w:rPr>
          <w:fldChar w:fldCharType="end"/>
        </w:r>
      </w:hyperlink>
    </w:p>
    <w:p w14:paraId="554DC1CB" w14:textId="2DE80526" w:rsidR="00BD728B" w:rsidRDefault="00E833C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07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_Toc201930607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7</w:t>
        </w:r>
        <w:r w:rsidR="00BD728B">
          <w:rPr>
            <w:noProof/>
          </w:rPr>
          <w:fldChar w:fldCharType="end"/>
        </w:r>
      </w:hyperlink>
    </w:p>
    <w:p w14:paraId="23107CF6" w14:textId="3914A965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08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_Toc201930608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7</w:t>
        </w:r>
        <w:r w:rsidR="00BD728B">
          <w:rPr>
            <w:noProof/>
          </w:rPr>
          <w:fldChar w:fldCharType="end"/>
        </w:r>
      </w:hyperlink>
    </w:p>
    <w:p w14:paraId="4A96B8A4" w14:textId="5CC23171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09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_Toc201930609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8</w:t>
        </w:r>
        <w:r w:rsidR="00BD728B">
          <w:rPr>
            <w:noProof/>
          </w:rPr>
          <w:fldChar w:fldCharType="end"/>
        </w:r>
      </w:hyperlink>
    </w:p>
    <w:p w14:paraId="13364C2A" w14:textId="0F9F17D6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10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_Toc201930610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8</w:t>
        </w:r>
        <w:r w:rsidR="00BD728B">
          <w:rPr>
            <w:noProof/>
          </w:rPr>
          <w:fldChar w:fldCharType="end"/>
        </w:r>
      </w:hyperlink>
    </w:p>
    <w:p w14:paraId="25149FE8" w14:textId="3085EE7D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11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_Toc201930611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9</w:t>
        </w:r>
        <w:r w:rsidR="00BD728B">
          <w:rPr>
            <w:noProof/>
          </w:rPr>
          <w:fldChar w:fldCharType="end"/>
        </w:r>
      </w:hyperlink>
    </w:p>
    <w:p w14:paraId="2347470C" w14:textId="5F82E992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12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Engagement relatif à la clause sociale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_Toc201930612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9</w:t>
        </w:r>
        <w:r w:rsidR="00BD728B">
          <w:rPr>
            <w:noProof/>
          </w:rPr>
          <w:fldChar w:fldCharType="end"/>
        </w:r>
      </w:hyperlink>
    </w:p>
    <w:p w14:paraId="007D60F1" w14:textId="2B4BFD15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13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_Toc201930613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9</w:t>
        </w:r>
        <w:r w:rsidR="00BD728B">
          <w:rPr>
            <w:noProof/>
          </w:rPr>
          <w:fldChar w:fldCharType="end"/>
        </w:r>
      </w:hyperlink>
    </w:p>
    <w:p w14:paraId="64FCBF43" w14:textId="0593A7B1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14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– Intelligence artificielle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_Toc201930614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9</w:t>
        </w:r>
        <w:r w:rsidR="00BD728B">
          <w:rPr>
            <w:noProof/>
          </w:rPr>
          <w:fldChar w:fldCharType="end"/>
        </w:r>
      </w:hyperlink>
    </w:p>
    <w:p w14:paraId="4F4252A5" w14:textId="5A510A20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15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– Confidentialité des données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_Toc201930615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9</w:t>
        </w:r>
        <w:r w:rsidR="00BD728B">
          <w:rPr>
            <w:noProof/>
          </w:rPr>
          <w:fldChar w:fldCharType="end"/>
        </w:r>
      </w:hyperlink>
    </w:p>
    <w:p w14:paraId="3E69590F" w14:textId="14995956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16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13 - Acceptation de la valeur contractuelle des pièces du marché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_Toc201930616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10</w:t>
        </w:r>
        <w:r w:rsidR="00BD728B">
          <w:rPr>
            <w:noProof/>
          </w:rPr>
          <w:fldChar w:fldCharType="end"/>
        </w:r>
      </w:hyperlink>
    </w:p>
    <w:p w14:paraId="6A8A7B79" w14:textId="4CA4C3E7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17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14 - Signature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_Toc201930617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10</w:t>
        </w:r>
        <w:r w:rsidR="00BD728B">
          <w:rPr>
            <w:noProof/>
          </w:rPr>
          <w:fldChar w:fldCharType="end"/>
        </w:r>
      </w:hyperlink>
    </w:p>
    <w:p w14:paraId="5DAFC7CB" w14:textId="55E9A1E0" w:rsidR="00BD728B" w:rsidRDefault="00E833C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930618" w:history="1">
        <w:r w:rsidR="00BD728B" w:rsidRPr="00990B3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BD728B">
          <w:rPr>
            <w:noProof/>
          </w:rPr>
          <w:tab/>
        </w:r>
        <w:r w:rsidR="00BD728B">
          <w:rPr>
            <w:noProof/>
          </w:rPr>
          <w:fldChar w:fldCharType="begin"/>
        </w:r>
        <w:r w:rsidR="00BD728B">
          <w:rPr>
            <w:noProof/>
          </w:rPr>
          <w:instrText xml:space="preserve"> PAGEREF _Toc201930618 \h </w:instrText>
        </w:r>
        <w:r w:rsidR="00BD728B">
          <w:rPr>
            <w:noProof/>
          </w:rPr>
        </w:r>
        <w:r w:rsidR="00BD728B">
          <w:rPr>
            <w:noProof/>
          </w:rPr>
          <w:fldChar w:fldCharType="separate"/>
        </w:r>
        <w:r w:rsidR="00BD728B">
          <w:rPr>
            <w:noProof/>
          </w:rPr>
          <w:t>12</w:t>
        </w:r>
        <w:r w:rsidR="00BD728B">
          <w:rPr>
            <w:noProof/>
          </w:rPr>
          <w:fldChar w:fldCharType="end"/>
        </w:r>
      </w:hyperlink>
    </w:p>
    <w:p w14:paraId="06AB10FC" w14:textId="3B9093BC" w:rsidR="002D5F70" w:rsidRDefault="00BD728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D5F7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BB754F5" w14:textId="7777777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01930601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73432ACB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5F70" w14:paraId="13280F2E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DAE3F" w14:textId="77777777" w:rsidR="002D5F70" w:rsidRDefault="00BD728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9481" w14:textId="77777777" w:rsidR="002D5F70" w:rsidRDefault="00BD728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D5F70" w14:paraId="4B34A62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03EC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22EA8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Oeuvre</w:t>
            </w:r>
          </w:p>
        </w:tc>
      </w:tr>
      <w:tr w:rsidR="002D5F70" w14:paraId="78AE32F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A6DF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9E65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 - Métallerie</w:t>
            </w:r>
          </w:p>
        </w:tc>
      </w:tr>
      <w:tr w:rsidR="002D5F70" w14:paraId="565F575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7F33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A928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 - Peinture</w:t>
            </w:r>
          </w:p>
        </w:tc>
      </w:tr>
      <w:tr w:rsidR="002D5F70" w14:paraId="4C46309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7AA76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32745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</w:t>
            </w:r>
          </w:p>
        </w:tc>
      </w:tr>
      <w:tr w:rsidR="002D5F70" w14:paraId="794531E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2FB4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E93A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</w:t>
            </w:r>
          </w:p>
        </w:tc>
      </w:tr>
    </w:tbl>
    <w:p w14:paraId="6E996BD2" w14:textId="77777777" w:rsidR="002D5F70" w:rsidRDefault="002D5F70">
      <w:pPr>
        <w:sectPr w:rsidR="002D5F70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0ECA5AF1" w14:textId="7777777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0193060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040F8893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62F72BA5" w14:textId="77777777" w:rsidR="002D5F70" w:rsidRDefault="00BD728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3F523448" w14:textId="77777777" w:rsidR="002D5F70" w:rsidRDefault="00BD728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4FAC71BE" w14:textId="77777777" w:rsidR="002D5F70" w:rsidRDefault="00BD728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259459B8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4742BD90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2D5F70" w14:paraId="03A380DF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F0F5B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D124A" w14:textId="77777777" w:rsidR="002D5F70" w:rsidRDefault="00BD728B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36.02.04 - Travaux de mise aux normes bâtiment</w:t>
            </w:r>
          </w:p>
        </w:tc>
      </w:tr>
      <w:tr w:rsidR="002D5F70" w14:paraId="012BD9D8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9246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6829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TF048442 - ADAP</w:t>
            </w:r>
          </w:p>
        </w:tc>
      </w:tr>
      <w:tr w:rsidR="002D5F70" w14:paraId="7542EC7A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0EAFF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3DC9A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2376F577" w14:textId="77777777" w:rsidR="002D5F70" w:rsidRDefault="00BD728B">
      <w:pPr>
        <w:spacing w:after="120" w:line="240" w:lineRule="exact"/>
      </w:pPr>
      <w:r>
        <w:t xml:space="preserve"> </w:t>
      </w:r>
    </w:p>
    <w:p w14:paraId="25B3947F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MLC FACILITIES</w:t>
      </w:r>
    </w:p>
    <w:p w14:paraId="7554A3CD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4B1CDD3E" w14:textId="77777777" w:rsidR="002D5F70" w:rsidRDefault="00BD728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2D607169" w14:textId="7777777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01930603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7EB9379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538569FD" w14:textId="77777777" w:rsidR="002D5F70" w:rsidRDefault="00BD728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DISPDIJ25007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5F70" w14:paraId="56CACE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F15E" w14:textId="01004416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E136C2" wp14:editId="20CA03CB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B708C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99D0C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D5F70" w14:paraId="153F14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752E2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7CFF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6B81D5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C3350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5FEC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D8FD4A" w14:textId="77777777" w:rsidR="002D5F70" w:rsidRDefault="00BD728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5F70" w14:paraId="581291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FE97" w14:textId="5CD45613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FEB7DF" wp14:editId="274D5576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8A054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B7635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D5F70" w14:paraId="23042A3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2B77B" w14:textId="77777777" w:rsidR="002D5F70" w:rsidRDefault="00BD72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5CE9C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5D605B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436E6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B1B39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33C5F3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B0E49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FF710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47AE66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AF5FB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B6AD6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1D47A4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36AD5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62009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5AEBE4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47B07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09408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43498D1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DBECA" w14:textId="77777777" w:rsidR="002D5F70" w:rsidRDefault="00BD72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D12DD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B5847D" w14:textId="77777777" w:rsidR="002D5F70" w:rsidRDefault="00BD728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06ABEC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9BE9" w14:textId="68EF7CF4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E0C88B" wp14:editId="1717038A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1EDB9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8EE6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0C9696D5" w14:textId="77777777" w:rsidR="002D5F70" w:rsidRDefault="002D5F70">
      <w:pPr>
        <w:sectPr w:rsidR="002D5F70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5F70" w14:paraId="095D61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518F6" w14:textId="77777777" w:rsidR="002D5F70" w:rsidRDefault="00BD72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B55F5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2BFCE8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29955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13B4D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548BD8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4C1C1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9C01D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223F91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B8B4C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B9C15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343FFE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6B966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36A41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296A51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6F7E4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09CC1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02868C8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48816" w14:textId="77777777" w:rsidR="002D5F70" w:rsidRDefault="00BD72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59374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C8EFA6" w14:textId="77777777" w:rsidR="002D5F70" w:rsidRDefault="00BD728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5F70" w14:paraId="7BE89F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BBBF" w14:textId="3095D889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7A50DD" wp14:editId="261FE4B6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9CAD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87049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D5F70" w14:paraId="557388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4CB6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CB25D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0B9DA5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E0F3B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B356F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E26ECC" w14:textId="77777777" w:rsidR="002D5F70" w:rsidRDefault="00BD728B">
      <w:pPr>
        <w:spacing w:after="20" w:line="240" w:lineRule="exact"/>
      </w:pPr>
      <w:r>
        <w:t xml:space="preserve"> </w:t>
      </w:r>
    </w:p>
    <w:p w14:paraId="3EC15F67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B75BD59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22E734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DCB63" w14:textId="63D4E272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7D1C5C" wp14:editId="3E3DCC56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5674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1708A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AC883BA" w14:textId="77777777" w:rsidR="002D5F70" w:rsidRDefault="00BD72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52644E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23BF5" w14:textId="76CDB06C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B5A261" wp14:editId="2D963721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2E11F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482A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D1C87AF" w14:textId="77777777" w:rsidR="002D5F70" w:rsidRDefault="00BD72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018129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E28C0" w14:textId="3A388DFA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233C7A" wp14:editId="39D1A1CA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4869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A4F5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31E9C40" w14:textId="77777777" w:rsidR="002D5F70" w:rsidRDefault="00BD728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5F70" w14:paraId="2DA168C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D2DCC" w14:textId="77777777" w:rsidR="002D5F70" w:rsidRDefault="00BD72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2DBA8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30C3C6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CEB8A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4D9C9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0C6EFE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1EE9F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C22C8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166930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4A5FF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0E25F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1DE3B1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DADBF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F621C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2FCE20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69F3C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791B8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4ABD05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914DE" w14:textId="77777777" w:rsidR="002D5F70" w:rsidRDefault="00BD72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6250A9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96B80A" w14:textId="77777777" w:rsidR="002D5F70" w:rsidRDefault="00BD728B">
      <w:pPr>
        <w:spacing w:after="20" w:line="240" w:lineRule="exact"/>
      </w:pPr>
      <w:r>
        <w:t xml:space="preserve"> </w:t>
      </w:r>
    </w:p>
    <w:p w14:paraId="411F3FC9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6DEC7ED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0BA8BAFF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  <w:sectPr w:rsidR="002D5F7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31A91B1" w14:textId="77777777" w:rsidR="002D5F70" w:rsidRDefault="00BD728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0D5410F7" w14:textId="7777777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01930604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6D1B8927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54698A90" w14:textId="77777777" w:rsidR="002D5F70" w:rsidRDefault="00BD728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1930605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6FF597A4" w14:textId="77777777" w:rsidR="002D5F70" w:rsidRDefault="00BD728B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BC76CE8" w14:textId="77777777" w:rsidR="002D5F70" w:rsidRDefault="00BD728B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Travaux de mise en conformité accessibilité du Centre de </w:t>
      </w:r>
      <w:proofErr w:type="spellStart"/>
      <w:r>
        <w:rPr>
          <w:color w:val="000000"/>
          <w:lang w:val="fr-FR"/>
        </w:rPr>
        <w:t>Semi Liberté</w:t>
      </w:r>
      <w:proofErr w:type="spellEnd"/>
      <w:r>
        <w:rPr>
          <w:color w:val="000000"/>
          <w:lang w:val="fr-FR"/>
        </w:rPr>
        <w:t xml:space="preserve"> (CSL) de Montargis</w:t>
      </w:r>
    </w:p>
    <w:p w14:paraId="6CA9E3B5" w14:textId="77777777" w:rsidR="002D5F70" w:rsidRDefault="002D5F70">
      <w:pPr>
        <w:pStyle w:val="ParagrapheIndent2"/>
        <w:spacing w:line="232" w:lineRule="exact"/>
        <w:rPr>
          <w:color w:val="000000"/>
          <w:lang w:val="fr-FR"/>
        </w:rPr>
      </w:pPr>
    </w:p>
    <w:p w14:paraId="4C919861" w14:textId="77777777" w:rsidR="002D5F70" w:rsidRDefault="00BD728B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marché a pour objet la réalisation de travaux de mise en conformité accessibilité (ADAP) du Centre de </w:t>
      </w:r>
      <w:proofErr w:type="spellStart"/>
      <w:r>
        <w:rPr>
          <w:color w:val="000000"/>
          <w:lang w:val="fr-FR"/>
        </w:rPr>
        <w:t>Semi Liberté</w:t>
      </w:r>
      <w:proofErr w:type="spellEnd"/>
      <w:r>
        <w:rPr>
          <w:color w:val="000000"/>
          <w:lang w:val="fr-FR"/>
        </w:rPr>
        <w:t xml:space="preserve"> (CSL) de Montargis (45).</w:t>
      </w:r>
    </w:p>
    <w:p w14:paraId="088FA45F" w14:textId="77777777" w:rsidR="002D5F70" w:rsidRDefault="00BD728B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09A18FE8" w14:textId="77777777" w:rsidR="002D5F70" w:rsidRDefault="00BD728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1930606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161A5E06" w14:textId="77777777" w:rsidR="002D5F70" w:rsidRDefault="00BD728B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C95BC23" w14:textId="77777777" w:rsidR="002D5F70" w:rsidRDefault="00BD728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1930607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75F47C8" w14:textId="77777777" w:rsidR="002D5F70" w:rsidRDefault="00BD728B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D519EEB" w14:textId="7777777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01930608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4F4A805A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782AD482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1E277AF0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2D5F70" w14:paraId="0C7FDEAD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3F877" w14:textId="77777777" w:rsidR="002D5F70" w:rsidRDefault="00BD728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D5F70" w14:paraId="0C4D56F9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46A0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82F4F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B29B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B409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7AEF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B0F78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2D5F70" w14:paraId="111A0A9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42FC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7DAF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Oeuvre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E8EFF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0A01B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12FC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2C08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D5F70" w14:paraId="41851F7A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35D4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BC51C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 - Métallerie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7465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53DD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F191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02EED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D5F70" w14:paraId="610886A8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55BF2" w14:textId="77777777" w:rsidR="002D5F70" w:rsidRDefault="00BD728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1779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 - Peint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5E84" w14:textId="77777777" w:rsidR="002D5F70" w:rsidRDefault="00BD728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B49D" w14:textId="77777777" w:rsidR="002D5F70" w:rsidRDefault="00BD728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DA986" w14:textId="77777777" w:rsidR="002D5F70" w:rsidRDefault="00BD728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D6640" w14:textId="77777777" w:rsidR="002D5F70" w:rsidRDefault="00BD728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D5F70" w14:paraId="468CCC6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2B9F8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17E4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25386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49BE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E6D9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F12A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D5F70" w14:paraId="7C9818C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2D83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0C6DE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090A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AF09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C9D0C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1B8B7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1FB4B07" w14:textId="77777777" w:rsidR="002D5F70" w:rsidRDefault="00BD728B">
      <w:pPr>
        <w:spacing w:after="20" w:line="240" w:lineRule="exact"/>
      </w:pPr>
      <w:r>
        <w:t xml:space="preserve"> </w:t>
      </w:r>
    </w:p>
    <w:p w14:paraId="507A4959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5CB445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D5F70" w14:paraId="4E3C065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AC35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51E2" w14:textId="77777777" w:rsidR="002D5F70" w:rsidRDefault="00BD728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D22C4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A6F8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17C57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D5F70" w14:paraId="628E09D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D5282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349ED" w14:textId="77777777" w:rsidR="002D5F70" w:rsidRDefault="00BD728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D6F2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F78D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BCCD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D5F70" w14:paraId="2C8F783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C8998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7C2A" w14:textId="77777777" w:rsidR="002D5F70" w:rsidRDefault="00BD728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3191F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78724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317D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D5F70" w14:paraId="4ECE5DC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3D08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2316" w14:textId="77777777" w:rsidR="002D5F70" w:rsidRDefault="00BD728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F242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C424" w14:textId="77777777" w:rsidR="002D5F70" w:rsidRDefault="00BD728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DF0D783" w14:textId="77777777" w:rsidR="002D5F70" w:rsidRDefault="00BD728B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  <w:sectPr w:rsidR="002D5F7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B88A137" w14:textId="7777777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201930609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Durée et Délais d'exécution</w:t>
      </w:r>
      <w:bookmarkEnd w:id="17"/>
    </w:p>
    <w:p w14:paraId="439DB903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14CF6FA6" w14:textId="77777777" w:rsidR="002D5F70" w:rsidRDefault="00BD728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4FAF8AF" w14:textId="7777777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01930610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5B23596B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762A43D8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E79BDD6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5F70" w14:paraId="28BE4E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4AB10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34301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138356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58758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5F20A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636439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8C922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8FD8F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3A5257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DF80E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1F8CB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5E98FD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3006B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3C929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1CC8BE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0DF0F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A0402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58B36D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F608D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7D718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2EF500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6703A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C682B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7E1C98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888A6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F0E84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264D93" w14:textId="77777777" w:rsidR="002D5F70" w:rsidRDefault="00BD728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5F70" w14:paraId="54A5AD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AB947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28719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2C04F3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415AA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022D3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76020B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CC49E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FB792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7CE965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5421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F3FA5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7F1FEE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C65F2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FBF05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121DF5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E8260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C42DD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414EAF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5A138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6B8DC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28E8F4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9652B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AE53C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5F70" w14:paraId="41AC15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DC06C" w14:textId="77777777" w:rsidR="002D5F70" w:rsidRDefault="00BD72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BB359" w14:textId="77777777" w:rsidR="002D5F70" w:rsidRDefault="002D5F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B17F81" w14:textId="77777777" w:rsidR="002D5F70" w:rsidRDefault="00BD728B">
      <w:pPr>
        <w:spacing w:after="20" w:line="240" w:lineRule="exact"/>
      </w:pPr>
      <w:r>
        <w:t xml:space="preserve"> </w:t>
      </w:r>
    </w:p>
    <w:p w14:paraId="1175262C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6462334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0FBF1E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15BBA" w14:textId="5BEE28ED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D3FAF9" wp14:editId="21087145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69C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A1B3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1F86F5E" w14:textId="77777777" w:rsidR="002D5F70" w:rsidRDefault="00BD72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510E3D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3521" w14:textId="2C24C3CB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4FF673" wp14:editId="02A26C63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3ED81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B68BF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</w:t>
            </w:r>
          </w:p>
        </w:tc>
      </w:tr>
      <w:tr w:rsidR="002D5F70" w14:paraId="4A46C863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26FC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6B8A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4661" w14:textId="77777777" w:rsidR="002D5F70" w:rsidRDefault="002D5F70"/>
        </w:tc>
      </w:tr>
    </w:tbl>
    <w:p w14:paraId="18824CF1" w14:textId="77777777" w:rsidR="002D5F70" w:rsidRDefault="002D5F70">
      <w:pPr>
        <w:sectPr w:rsidR="002D5F7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9CE7E42" w14:textId="77777777" w:rsidR="002D5F70" w:rsidRDefault="00BD728B">
      <w:pPr>
        <w:pStyle w:val="ParagrapheIndent1"/>
        <w:ind w:left="440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présent</w:t>
      </w:r>
      <w:proofErr w:type="gramEnd"/>
      <w:r>
        <w:rPr>
          <w:color w:val="000000"/>
          <w:lang w:val="fr-FR"/>
        </w:rPr>
        <w:t xml:space="preserve"> document.</w:t>
      </w:r>
    </w:p>
    <w:p w14:paraId="61CE9978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4DE27539" w14:textId="77777777" w:rsidR="002D5F70" w:rsidRDefault="00BD728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3B7E361" w14:textId="7777777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201930611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409AA148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072A24F8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6D90174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75A552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A44A" w14:textId="73633851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AE8B5F" wp14:editId="27514224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B37A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22E41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26543A1" w14:textId="77777777" w:rsidR="002D5F70" w:rsidRDefault="00BD72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5CC6B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5F43" w14:textId="2F9DFF33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257D12" wp14:editId="3A001121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37D21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45B7E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8EDAC7" w14:textId="77777777" w:rsidR="002D5F70" w:rsidRDefault="00BD728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96BF642" w14:textId="109CE29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0"/>
      <w:bookmarkStart w:id="23" w:name="_Toc201930612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9 - Engagement relatif à </w:t>
      </w:r>
      <w:r w:rsidR="001051C1">
        <w:rPr>
          <w:rFonts w:ascii="Trebuchet MS" w:eastAsia="Trebuchet MS" w:hAnsi="Trebuchet MS" w:cs="Trebuchet MS"/>
          <w:color w:val="FFFFFF"/>
          <w:sz w:val="28"/>
          <w:lang w:val="fr-FR"/>
        </w:rPr>
        <w:t>la clause sociale</w:t>
      </w:r>
      <w:bookmarkEnd w:id="23"/>
    </w:p>
    <w:p w14:paraId="1DD32662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4874405D" w14:textId="77777777" w:rsidR="002D5F70" w:rsidRDefault="00BD728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la clause sociale, et s'engage à renseigner le questionnaire disponible en ligne via l'adresse URL précisée dans le CCAP, dès notification et 1 mois après la fin du marché.</w:t>
      </w:r>
    </w:p>
    <w:p w14:paraId="2ED6038E" w14:textId="7777777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1"/>
      <w:bookmarkStart w:id="25" w:name="_Toc201930613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5"/>
    </w:p>
    <w:p w14:paraId="63533B45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0B15BA5C" w14:textId="77777777" w:rsidR="002D5F70" w:rsidRDefault="00BD728B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D5F70" w14:paraId="351B2C5C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0B4D" w14:textId="77777777" w:rsidR="002D5F70" w:rsidRDefault="00BD728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D656F" w14:textId="77777777" w:rsidR="002D5F70" w:rsidRDefault="00BD728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932B6" w14:textId="77777777" w:rsidR="002D5F70" w:rsidRDefault="00BD728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D5F70" w14:paraId="6D56B3C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A0C2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11C6C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45262522-6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C5572" w14:textId="77777777" w:rsidR="002D5F70" w:rsidRDefault="00BD728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maçonnerie</w:t>
            </w:r>
          </w:p>
        </w:tc>
      </w:tr>
      <w:tr w:rsidR="002D5F70" w14:paraId="186B9E5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D06E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7DE9C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3C790" w14:textId="77777777" w:rsidR="002D5F70" w:rsidRDefault="00BD728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Pose de menuiseries métalliques, excepté portes et fenêtres</w:t>
            </w:r>
          </w:p>
        </w:tc>
      </w:tr>
      <w:tr w:rsidR="002D5F70" w14:paraId="033ADA50" w14:textId="7777777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CD23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BA2A3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28D9" w14:textId="77777777" w:rsidR="002D5F70" w:rsidRDefault="00BD728B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pose de revêtement de sols et de murs et pose de papiers peints</w:t>
            </w:r>
          </w:p>
        </w:tc>
      </w:tr>
      <w:tr w:rsidR="002D5F70" w14:paraId="7F81218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5DB80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265F7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827E" w14:textId="77777777" w:rsidR="002D5F70" w:rsidRDefault="00BD728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2D5F70" w14:paraId="734EB73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FCE00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9204" w14:textId="77777777" w:rsidR="002D5F70" w:rsidRDefault="00BD728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45317000-2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903F" w14:textId="77777777" w:rsidR="002D5F70" w:rsidRDefault="00BD728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travaux d'installation électrique</w:t>
            </w:r>
          </w:p>
        </w:tc>
      </w:tr>
    </w:tbl>
    <w:p w14:paraId="2DD6F21A" w14:textId="77777777" w:rsidR="002D5F70" w:rsidRDefault="00BD728B">
      <w:pPr>
        <w:spacing w:line="20" w:lineRule="exact"/>
        <w:rPr>
          <w:sz w:val="2"/>
        </w:rPr>
      </w:pPr>
      <w:r>
        <w:t xml:space="preserve"> </w:t>
      </w:r>
    </w:p>
    <w:p w14:paraId="2A128984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24325E07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3B4DFA8D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3991BC0E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197423B9" w14:textId="6B0FA895" w:rsidR="001051C1" w:rsidRDefault="001051C1" w:rsidP="001051C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_Toc201930614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11 </w:t>
      </w:r>
      <w:r w:rsidR="00BD728B">
        <w:rPr>
          <w:rFonts w:ascii="Trebuchet MS" w:eastAsia="Trebuchet MS" w:hAnsi="Trebuchet MS" w:cs="Trebuchet MS"/>
          <w:color w:val="FFFFFF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  <w:r w:rsidR="00BD728B">
        <w:rPr>
          <w:rFonts w:ascii="Trebuchet MS" w:eastAsia="Trebuchet MS" w:hAnsi="Trebuchet MS" w:cs="Trebuchet MS"/>
          <w:color w:val="FFFFFF"/>
          <w:sz w:val="28"/>
          <w:lang w:val="fr-FR"/>
        </w:rPr>
        <w:t>Intelligence artificielle</w:t>
      </w:r>
      <w:bookmarkEnd w:id="26"/>
    </w:p>
    <w:p w14:paraId="35BF9EE3" w14:textId="05BDCDBC" w:rsidR="002D5F70" w:rsidRPr="001051C1" w:rsidRDefault="00BD728B">
      <w:pPr>
        <w:pStyle w:val="ParagrapheIndent1"/>
        <w:spacing w:line="232" w:lineRule="exact"/>
        <w:rPr>
          <w:color w:val="000000"/>
          <w:lang w:val="fr-FR"/>
        </w:rPr>
      </w:pPr>
      <w:r w:rsidRPr="001051C1">
        <w:rPr>
          <w:color w:val="000000"/>
          <w:lang w:val="fr-FR"/>
        </w:rPr>
        <w:t>Le titulaire du présent marché s'engage à ne pas recourir à l'intelligence artificielle pour exécuter les différentes missions dont il aura la charge au titre de l’exécution de ce marché : conception, établissement des cahiers des charges, analyses des offres, établissement du rapport d'analyse des offres, analyses des plans d'EXE, et tout autre élément ou document dont le titulaire aurait à connaître dans le cadre de ce projet.</w:t>
      </w:r>
    </w:p>
    <w:p w14:paraId="133F3000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 w:rsidRPr="001051C1">
        <w:rPr>
          <w:color w:val="000000"/>
          <w:lang w:val="fr-FR"/>
        </w:rPr>
        <w:t>Cet engagement vaut pour le mandataire et ses co-traitants, ainsi que les sous-traitants éventuels.</w:t>
      </w:r>
    </w:p>
    <w:p w14:paraId="709B8064" w14:textId="77777777" w:rsidR="001051C1" w:rsidRPr="001051C1" w:rsidRDefault="001051C1" w:rsidP="001051C1">
      <w:pPr>
        <w:rPr>
          <w:lang w:val="fr-FR"/>
        </w:rPr>
      </w:pPr>
    </w:p>
    <w:p w14:paraId="6796ABBF" w14:textId="625D79CE" w:rsidR="002D5F70" w:rsidRPr="001051C1" w:rsidRDefault="001051C1" w:rsidP="001051C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_Toc201930615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12 </w:t>
      </w:r>
      <w:r w:rsidR="00BD728B">
        <w:rPr>
          <w:rFonts w:ascii="Trebuchet MS" w:eastAsia="Trebuchet MS" w:hAnsi="Trebuchet MS" w:cs="Trebuchet MS"/>
          <w:color w:val="FFFFFF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  <w:r w:rsidR="00BD728B">
        <w:rPr>
          <w:rFonts w:ascii="Trebuchet MS" w:eastAsia="Trebuchet MS" w:hAnsi="Trebuchet MS" w:cs="Trebuchet MS"/>
          <w:color w:val="FFFFFF"/>
          <w:sz w:val="28"/>
          <w:lang w:val="fr-FR"/>
        </w:rPr>
        <w:t>Confidentialité des données</w:t>
      </w:r>
      <w:bookmarkEnd w:id="27"/>
    </w:p>
    <w:p w14:paraId="47F8371F" w14:textId="176891B7" w:rsidR="002D5F70" w:rsidRPr="001051C1" w:rsidRDefault="00BD728B">
      <w:pPr>
        <w:pStyle w:val="ParagrapheIndent1"/>
        <w:spacing w:line="232" w:lineRule="exact"/>
        <w:rPr>
          <w:color w:val="000000"/>
          <w:lang w:val="fr-FR"/>
        </w:rPr>
      </w:pPr>
      <w:r w:rsidRPr="001051C1">
        <w:rPr>
          <w:color w:val="000000"/>
          <w:lang w:val="fr-FR"/>
        </w:rPr>
        <w:t>Le titulaire s’engage également à ne pas compromettre la confidentialité des documents dont il aura connaissance dans le cadre de ce marché par des échanges non sécurisés sur des plateformes publiques de transfert de fichiers (</w:t>
      </w:r>
      <w:proofErr w:type="spellStart"/>
      <w:r w:rsidRPr="001051C1">
        <w:rPr>
          <w:color w:val="000000"/>
          <w:lang w:val="fr-FR"/>
        </w:rPr>
        <w:t>wetransfer</w:t>
      </w:r>
      <w:proofErr w:type="spellEnd"/>
      <w:r w:rsidRPr="001051C1">
        <w:rPr>
          <w:color w:val="000000"/>
          <w:lang w:val="fr-FR"/>
        </w:rPr>
        <w:t xml:space="preserve"> par exemple) ou de courriers électroniques.</w:t>
      </w:r>
    </w:p>
    <w:p w14:paraId="2F95423A" w14:textId="77777777" w:rsidR="002D5F70" w:rsidRDefault="00BD728B" w:rsidP="001051C1">
      <w:pPr>
        <w:pStyle w:val="ParagrapheIndent1"/>
        <w:spacing w:line="232" w:lineRule="exact"/>
        <w:rPr>
          <w:color w:val="000000"/>
          <w:lang w:val="fr-FR"/>
        </w:rPr>
      </w:pPr>
      <w:r w:rsidRPr="001051C1">
        <w:rPr>
          <w:color w:val="000000"/>
          <w:lang w:val="fr-FR"/>
        </w:rPr>
        <w:t xml:space="preserve">Tout échange de documents confidentiels, que ce soit en raison de la confidentialité inhérente à une procédure de commande publique en cours ou en raison de la confidentialité attachée à la sécurité pénitentiaire, devra être préalablement chiffré au moyen d’une méthode/d’un outil de chiffrement </w:t>
      </w:r>
    </w:p>
    <w:p w14:paraId="54A74A69" w14:textId="77777777" w:rsidR="002D5F70" w:rsidRDefault="00BD728B" w:rsidP="001051C1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 w:rsidRPr="001051C1">
        <w:rPr>
          <w:color w:val="000000"/>
          <w:lang w:val="fr-FR"/>
        </w:rPr>
        <w:t>préalablement</w:t>
      </w:r>
      <w:proofErr w:type="gramEnd"/>
      <w:r w:rsidRPr="001051C1">
        <w:rPr>
          <w:color w:val="000000"/>
          <w:lang w:val="fr-FR"/>
        </w:rPr>
        <w:t xml:space="preserve"> soumis à l’administration et accepté par elle.</w:t>
      </w:r>
    </w:p>
    <w:p w14:paraId="30DE7A62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6209CC14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2CE70A3C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36807A03" w14:textId="77777777" w:rsidR="002D5F70" w:rsidRDefault="002D5F70">
      <w:pPr>
        <w:pStyle w:val="ParagrapheIndent1"/>
        <w:spacing w:after="240" w:line="232" w:lineRule="exact"/>
        <w:rPr>
          <w:color w:val="000000"/>
          <w:lang w:val="fr-FR"/>
        </w:rPr>
      </w:pPr>
    </w:p>
    <w:p w14:paraId="79D5933D" w14:textId="4CE469FC" w:rsidR="002D5F70" w:rsidRDefault="001051C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NA14"/>
      <w:bookmarkStart w:id="29" w:name="_Toc201930616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13</w:t>
      </w:r>
      <w:r w:rsidR="00BD728B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Acceptation de la valeur contractuelle des pièces du marché</w:t>
      </w:r>
      <w:bookmarkEnd w:id="29"/>
    </w:p>
    <w:p w14:paraId="117E7650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3B8D84F3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3F32265C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01F6673A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 son annexe 1 : désignation des co-traitants et répartition des prestations</w:t>
      </w:r>
    </w:p>
    <w:p w14:paraId="64E2BA57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pénitentiaire.</w:t>
      </w:r>
    </w:p>
    <w:p w14:paraId="69138421" w14:textId="6DAD6A95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calendrier détaillé d'exécution des prestations notifié aux titulaires à l'issue de la phase de préparation</w:t>
      </w:r>
    </w:p>
    <w:p w14:paraId="2CC0E5BE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Rapport Initial de Contrôle Technique</w:t>
      </w:r>
    </w:p>
    <w:p w14:paraId="7F3A783F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Diagnostic Technique avant Travaux (DTT)</w:t>
      </w:r>
    </w:p>
    <w:p w14:paraId="0123FB02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Les cahiers des clauses techniques particulières (5 CCTP) et l'annexe "Cahier technique"</w:t>
      </w:r>
    </w:p>
    <w:p w14:paraId="5C61216A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travaux, approuvé par l'arrêté du 30 mars 2021</w:t>
      </w:r>
    </w:p>
    <w:p w14:paraId="154BC75D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plan général de coordination sécurité (PGC)</w:t>
      </w:r>
    </w:p>
    <w:p w14:paraId="172BF049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Plan Particulier de Sécurité et de Protection de la Santé</w:t>
      </w:r>
    </w:p>
    <w:p w14:paraId="0BADEE86" w14:textId="6E1F4014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La série de plans, schémas et croquis, établis par le maître d'</w:t>
      </w:r>
      <w:r w:rsidR="001051C1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ou par les bureaux d'études</w:t>
      </w:r>
    </w:p>
    <w:p w14:paraId="2AA44187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tableau des portes</w:t>
      </w:r>
    </w:p>
    <w:p w14:paraId="7A72B061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</w:t>
      </w:r>
    </w:p>
    <w:p w14:paraId="1CE57F5D" w14:textId="77777777" w:rsidR="002D5F70" w:rsidRDefault="002D5F70">
      <w:pPr>
        <w:pStyle w:val="ParagrapheIndent1"/>
        <w:spacing w:after="240" w:line="232" w:lineRule="exact"/>
        <w:rPr>
          <w:color w:val="000000"/>
          <w:lang w:val="fr-FR"/>
        </w:rPr>
      </w:pPr>
    </w:p>
    <w:p w14:paraId="2B53CBA8" w14:textId="5B2EB907" w:rsidR="002D5F70" w:rsidRDefault="00BD728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E-3-A14"/>
      <w:bookmarkStart w:id="31" w:name="_Toc201930617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t>1</w:t>
      </w:r>
      <w:r w:rsidR="001051C1">
        <w:rPr>
          <w:rFonts w:ascii="Trebuchet MS" w:eastAsia="Trebuchet MS" w:hAnsi="Trebuchet MS" w:cs="Trebuchet MS"/>
          <w:color w:val="FFFFFF"/>
          <w:sz w:val="28"/>
          <w:lang w:val="fr-FR"/>
        </w:rPr>
        <w:t>4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31"/>
    </w:p>
    <w:p w14:paraId="48B8C0B3" w14:textId="77777777" w:rsidR="002D5F70" w:rsidRDefault="00BD728B">
      <w:pPr>
        <w:spacing w:line="60" w:lineRule="exact"/>
        <w:rPr>
          <w:sz w:val="6"/>
        </w:rPr>
      </w:pPr>
      <w:r>
        <w:t xml:space="preserve"> </w:t>
      </w:r>
    </w:p>
    <w:p w14:paraId="72C5769B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1C640183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9AB2F7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7ABCDFE8" w14:textId="3B622630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AE6C05E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416E9E01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4BB06D9F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A6A3DC2" w14:textId="77777777" w:rsidR="002D5F70" w:rsidRDefault="00BD728B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A .............................................Le .............................................Signature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6A68149" w14:textId="77777777" w:rsidR="001051C1" w:rsidRDefault="001051C1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316CCE6" w14:textId="77777777" w:rsidR="001051C1" w:rsidRDefault="001051C1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B4C99E4" w14:textId="77777777" w:rsidR="001051C1" w:rsidRDefault="001051C1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8D022E0" w14:textId="77777777" w:rsidR="002D5F70" w:rsidRDefault="00BD728B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2D5F70" w14:paraId="3529F4AF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DEB1" w14:textId="77777777" w:rsidR="002D5F70" w:rsidRDefault="00BD728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D5F70" w14:paraId="3A285FF1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A2E3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0521929E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7B0E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C91D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2F48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5CC1BD83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03B0F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2B367A94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4838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53247EFC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2D5F70" w14:paraId="4252D330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6496" w14:textId="77777777" w:rsidR="002D5F70" w:rsidRDefault="002D5F70">
            <w:pPr>
              <w:spacing w:line="60" w:lineRule="exact"/>
              <w:rPr>
                <w:sz w:val="6"/>
              </w:rPr>
            </w:pPr>
          </w:p>
          <w:p w14:paraId="1620A5A3" w14:textId="6737C4DE" w:rsidR="002D5F70" w:rsidRDefault="00BD728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3C1946" wp14:editId="5891AA1B">
                  <wp:extent cx="123190" cy="12319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1B34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3948D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Oeuvre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A60A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85AF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38F5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D5F70" w14:paraId="2124729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CBD83" w14:textId="77777777" w:rsidR="002D5F70" w:rsidRDefault="002D5F70">
            <w:pPr>
              <w:spacing w:line="60" w:lineRule="exact"/>
              <w:rPr>
                <w:sz w:val="6"/>
              </w:rPr>
            </w:pPr>
          </w:p>
          <w:p w14:paraId="127F4C12" w14:textId="5C85A096" w:rsidR="002D5F70" w:rsidRDefault="00BD728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A2550A" wp14:editId="406E24C6">
                  <wp:extent cx="123190" cy="12319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FD38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02D66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 - Métallerie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A9D04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58C7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9838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D5F70" w14:paraId="42E910E5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C0F5" w14:textId="77777777" w:rsidR="002D5F70" w:rsidRDefault="002D5F70">
            <w:pPr>
              <w:spacing w:line="60" w:lineRule="exact"/>
              <w:rPr>
                <w:sz w:val="6"/>
              </w:rPr>
            </w:pPr>
          </w:p>
          <w:p w14:paraId="31933007" w14:textId="6172C667" w:rsidR="002D5F70" w:rsidRDefault="00BD728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A54CD4" wp14:editId="160F3BB8">
                  <wp:extent cx="123190" cy="12319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638C8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D525B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 - Peint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5716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9B4B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5DD8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D5F70" w14:paraId="767ADED6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EA7A" w14:textId="77777777" w:rsidR="002D5F70" w:rsidRDefault="002D5F70">
            <w:pPr>
              <w:spacing w:line="60" w:lineRule="exact"/>
              <w:rPr>
                <w:sz w:val="6"/>
              </w:rPr>
            </w:pPr>
          </w:p>
          <w:p w14:paraId="02E4F02A" w14:textId="2B21CB71" w:rsidR="002D5F70" w:rsidRDefault="00BD728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8145F1" wp14:editId="6EE03A19">
                  <wp:extent cx="123190" cy="123190"/>
                  <wp:effectExtent l="0" t="0" r="0" b="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2453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43CF2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2D5F9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84ED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35F47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62C3B2D9" w14:textId="77777777" w:rsidR="002D5F70" w:rsidRDefault="002D5F70">
      <w:pPr>
        <w:sectPr w:rsidR="002D5F7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2D5F70" w14:paraId="0EE50F46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24FF" w14:textId="77777777" w:rsidR="002D5F70" w:rsidRDefault="00BD728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32" w:name="_Hlk201930399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Montant de l'offre par lot</w:t>
            </w:r>
          </w:p>
        </w:tc>
      </w:tr>
      <w:tr w:rsidR="002D5F70" w14:paraId="25EAE259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B298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64DB339A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989A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616DF" w14:textId="77777777" w:rsidR="002D5F70" w:rsidRDefault="00BD72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5B6E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9484C72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9A82E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28A59C5E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89B4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02EBAA24" w14:textId="77777777" w:rsidR="002D5F70" w:rsidRDefault="00BD72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2D5F70" w14:paraId="0A6A3C04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3DD0" w14:textId="77777777" w:rsidR="002D5F70" w:rsidRDefault="002D5F70">
            <w:pPr>
              <w:spacing w:line="60" w:lineRule="exact"/>
              <w:rPr>
                <w:sz w:val="6"/>
              </w:rPr>
            </w:pPr>
          </w:p>
          <w:p w14:paraId="21221800" w14:textId="512ED72E" w:rsidR="002D5F70" w:rsidRDefault="00BD728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652218" wp14:editId="70A05020">
                  <wp:extent cx="123190" cy="123190"/>
                  <wp:effectExtent l="0" t="0" r="0" b="0"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7DC2" w14:textId="77777777" w:rsidR="002D5F70" w:rsidRDefault="00BD728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596F" w14:textId="77777777" w:rsidR="002D5F70" w:rsidRDefault="00BD72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EEFC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1688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4934" w14:textId="77777777" w:rsidR="002D5F70" w:rsidRDefault="00BD728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bookmarkEnd w:id="32"/>
    <w:p w14:paraId="288D1D0D" w14:textId="77777777" w:rsidR="002D5F70" w:rsidRDefault="00BD728B">
      <w:pPr>
        <w:spacing w:after="20" w:line="240" w:lineRule="exact"/>
      </w:pPr>
      <w:r>
        <w:t xml:space="preserve"> </w:t>
      </w:r>
    </w:p>
    <w:p w14:paraId="48A04D05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8B795BA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5F7E367" w14:textId="77777777" w:rsidR="002D5F70" w:rsidRDefault="00BD728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1DBB04C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4073131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52F71FFB" w14:textId="77777777" w:rsidR="002D5F70" w:rsidRDefault="00BD72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92D1B3" w14:textId="77777777" w:rsidR="002D5F70" w:rsidRDefault="00BD728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483A0FC" w14:textId="77777777" w:rsidR="002D5F70" w:rsidRDefault="00BD72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8C3BF2F" w14:textId="77777777" w:rsidR="002D5F70" w:rsidRDefault="002D5F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8A4D88" w14:textId="77777777" w:rsidR="002D5F70" w:rsidRDefault="002D5F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CD43FA" w14:textId="77777777" w:rsidR="002D5F70" w:rsidRDefault="002D5F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B5CB66" w14:textId="77777777" w:rsidR="002D5F70" w:rsidRDefault="002D5F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48F260" w14:textId="77777777" w:rsidR="002D5F70" w:rsidRDefault="002D5F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874369" w14:textId="77777777" w:rsidR="002D5F70" w:rsidRDefault="002D5F7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331FAC6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F6E396B" w14:textId="77777777" w:rsidR="002D5F70" w:rsidRDefault="002D5F70">
      <w:pPr>
        <w:pStyle w:val="ParagrapheIndent1"/>
        <w:spacing w:line="232" w:lineRule="exact"/>
        <w:rPr>
          <w:color w:val="000000"/>
          <w:lang w:val="fr-FR"/>
        </w:rPr>
      </w:pPr>
    </w:p>
    <w:p w14:paraId="429DC69E" w14:textId="77777777" w:rsidR="002D5F70" w:rsidRDefault="00BD728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290F83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61E8" w14:textId="011A31DB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D9A9CA" wp14:editId="413749E2">
                  <wp:extent cx="154305" cy="1543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DD832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BEAFA" w14:textId="77777777" w:rsidR="002D5F70" w:rsidRDefault="00BD728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562597B" w14:textId="77777777" w:rsidR="002D5F70" w:rsidRDefault="00BD728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5F70" w14:paraId="624E601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CDC9D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86359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8583F" w14:textId="77777777" w:rsidR="002D5F70" w:rsidRDefault="002D5F70"/>
        </w:tc>
      </w:tr>
    </w:tbl>
    <w:p w14:paraId="73C9789E" w14:textId="77777777" w:rsidR="002D5F70" w:rsidRDefault="00BD72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0515CC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547ED" w14:textId="53A822E6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5397A0" wp14:editId="655D9EF6">
                  <wp:extent cx="154305" cy="1543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12C3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7724" w14:textId="77777777" w:rsidR="002D5F70" w:rsidRDefault="00BD728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D0071AD" w14:textId="77777777" w:rsidR="002D5F70" w:rsidRDefault="00BD728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5F70" w14:paraId="4D1EA7D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456A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BEE3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D9F6" w14:textId="77777777" w:rsidR="002D5F70" w:rsidRDefault="002D5F70"/>
        </w:tc>
      </w:tr>
    </w:tbl>
    <w:p w14:paraId="2C1A4F35" w14:textId="77777777" w:rsidR="002D5F70" w:rsidRDefault="00BD72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022BD9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6525" w14:textId="0F7A3F0F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ECCF09" wp14:editId="6994E0A0">
                  <wp:extent cx="154305" cy="1543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FB76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48821" w14:textId="77777777" w:rsidR="002D5F70" w:rsidRDefault="00BD728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E071E8D" w14:textId="77777777" w:rsidR="002D5F70" w:rsidRDefault="00BD728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5F70" w14:paraId="45006C6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065A9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0068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15180" w14:textId="77777777" w:rsidR="002D5F70" w:rsidRDefault="002D5F70"/>
        </w:tc>
      </w:tr>
    </w:tbl>
    <w:p w14:paraId="3C4C4BAB" w14:textId="77777777" w:rsidR="002D5F70" w:rsidRDefault="00BD72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5BC2DB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FB031" w14:textId="397793AB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CF540E" wp14:editId="43DABC53">
                  <wp:extent cx="154305" cy="15430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362B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FED1" w14:textId="77777777" w:rsidR="002D5F70" w:rsidRDefault="00BD728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58D60AE" w14:textId="77777777" w:rsidR="002D5F70" w:rsidRDefault="00BD728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5F70" w14:paraId="3CFEA0C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644B1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2633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3B95" w14:textId="77777777" w:rsidR="002D5F70" w:rsidRDefault="002D5F70"/>
        </w:tc>
      </w:tr>
    </w:tbl>
    <w:p w14:paraId="0F6B412C" w14:textId="77777777" w:rsidR="002D5F70" w:rsidRDefault="00BD728B">
      <w:pPr>
        <w:pStyle w:val="ParagrapheIndent1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5F70" w14:paraId="6548BA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FC05" w14:textId="03989B0D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D85102" wp14:editId="4A2B8BA2">
                  <wp:extent cx="154305" cy="15430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06CA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524FD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D5F70" w14:paraId="7915F6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2458" w14:textId="333E79D4" w:rsidR="002D5F70" w:rsidRDefault="00BD72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A8B535" wp14:editId="7D1895F9">
                  <wp:extent cx="154305" cy="15430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308D5" w14:textId="77777777" w:rsidR="002D5F70" w:rsidRDefault="002D5F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68416" w14:textId="77777777" w:rsidR="002D5F70" w:rsidRDefault="00BD728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A8BCFDE" w14:textId="77777777" w:rsidR="002D5F70" w:rsidRDefault="00BD72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0B25E60" w14:textId="77777777" w:rsidR="002D5F70" w:rsidRDefault="00BD72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5DB63D7" w14:textId="77777777" w:rsidR="002D5F70" w:rsidRDefault="002D5F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91F637" w14:textId="77777777" w:rsidR="002D5F70" w:rsidRDefault="00BD728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5F70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69F5DEB" w14:textId="77777777" w:rsidR="002D5F70" w:rsidRDefault="00BD728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3" w:name="ArtL1_A-CT"/>
      <w:bookmarkStart w:id="34" w:name="_Toc201930618"/>
      <w:bookmarkEnd w:id="3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4"/>
    </w:p>
    <w:p w14:paraId="4AE2D437" w14:textId="77777777" w:rsidR="002D5F70" w:rsidRDefault="00BD728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5F70" w14:paraId="110E87C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25A2" w14:textId="77777777" w:rsidR="002D5F70" w:rsidRDefault="00BD728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4A806" w14:textId="77777777" w:rsidR="002D5F70" w:rsidRDefault="00BD728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E9E82" w14:textId="77777777" w:rsidR="002D5F70" w:rsidRDefault="00BD728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C123" w14:textId="77777777" w:rsidR="002D5F70" w:rsidRDefault="00BD728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EA53961" w14:textId="77777777" w:rsidR="002D5F70" w:rsidRDefault="00BD728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6F3AA" w14:textId="77777777" w:rsidR="002D5F70" w:rsidRDefault="00BD728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D5F70" w14:paraId="19CB89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C31B6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88C1172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8625D7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66AABB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B0AB11" w14:textId="77777777" w:rsidR="002D5F70" w:rsidRDefault="002D5F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F6A91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09C6" w14:textId="77777777" w:rsidR="002D5F70" w:rsidRDefault="002D5F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ED9C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5D1A" w14:textId="77777777" w:rsidR="002D5F70" w:rsidRDefault="002D5F70"/>
        </w:tc>
      </w:tr>
      <w:tr w:rsidR="002D5F70" w14:paraId="4DD94FC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A79B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337B902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BC13114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84C4AE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979F6B8" w14:textId="77777777" w:rsidR="002D5F70" w:rsidRDefault="002D5F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AA77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A64DA" w14:textId="77777777" w:rsidR="002D5F70" w:rsidRDefault="002D5F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C064C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31E7" w14:textId="77777777" w:rsidR="002D5F70" w:rsidRDefault="002D5F70"/>
        </w:tc>
      </w:tr>
      <w:tr w:rsidR="002D5F70" w14:paraId="2692E6A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3C24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CE096B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04C2DA2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7F5894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175C624" w14:textId="77777777" w:rsidR="002D5F70" w:rsidRDefault="002D5F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008C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C7A0" w14:textId="77777777" w:rsidR="002D5F70" w:rsidRDefault="002D5F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B48C6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B34F" w14:textId="77777777" w:rsidR="002D5F70" w:rsidRDefault="002D5F70"/>
        </w:tc>
      </w:tr>
      <w:tr w:rsidR="002D5F70" w14:paraId="7A419B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0975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57FB775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FADB0FD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6B9734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B946FB2" w14:textId="77777777" w:rsidR="002D5F70" w:rsidRDefault="002D5F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D647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6119" w14:textId="77777777" w:rsidR="002D5F70" w:rsidRDefault="002D5F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C6DC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0CA66" w14:textId="77777777" w:rsidR="002D5F70" w:rsidRDefault="002D5F70"/>
        </w:tc>
      </w:tr>
      <w:tr w:rsidR="002D5F70" w14:paraId="6C384E3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B066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38190A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3256241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375EB5" w14:textId="77777777" w:rsidR="002D5F70" w:rsidRDefault="00BD72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3932C6" w14:textId="77777777" w:rsidR="002D5F70" w:rsidRDefault="002D5F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BADB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6572C" w14:textId="77777777" w:rsidR="002D5F70" w:rsidRDefault="002D5F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1751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A3A38" w14:textId="77777777" w:rsidR="002D5F70" w:rsidRDefault="002D5F70"/>
        </w:tc>
      </w:tr>
      <w:tr w:rsidR="002D5F70" w14:paraId="77555CB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E301C" w14:textId="77777777" w:rsidR="002D5F70" w:rsidRDefault="002D5F7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739E" w14:textId="77777777" w:rsidR="002D5F70" w:rsidRDefault="00BD728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85F3F" w14:textId="77777777" w:rsidR="002D5F70" w:rsidRDefault="002D5F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ACE9F" w14:textId="77777777" w:rsidR="002D5F70" w:rsidRDefault="002D5F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A8B0" w14:textId="77777777" w:rsidR="002D5F70" w:rsidRDefault="002D5F70"/>
        </w:tc>
      </w:tr>
    </w:tbl>
    <w:p w14:paraId="20D4127C" w14:textId="77777777" w:rsidR="002D5F70" w:rsidRDefault="002D5F70"/>
    <w:sectPr w:rsidR="002D5F70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A1E21" w14:textId="77777777" w:rsidR="00BD728B" w:rsidRDefault="00BD728B">
      <w:r>
        <w:separator/>
      </w:r>
    </w:p>
  </w:endnote>
  <w:endnote w:type="continuationSeparator" w:id="0">
    <w:p w14:paraId="54FEB5FF" w14:textId="77777777" w:rsidR="00BD728B" w:rsidRDefault="00BD7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E75DD" w14:textId="77777777" w:rsidR="002D5F70" w:rsidRDefault="002D5F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5F70" w14:paraId="655EA9D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DC863C" w14:textId="77777777" w:rsidR="002D5F70" w:rsidRDefault="00BD728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169BAB" w14:textId="77777777" w:rsidR="002D5F70" w:rsidRDefault="00BD728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4B65" w14:textId="77777777" w:rsidR="002D5F70" w:rsidRDefault="002D5F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5F70" w14:paraId="5DAB065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135468" w14:textId="77777777" w:rsidR="002D5F70" w:rsidRDefault="00BD728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99F724" w14:textId="77777777" w:rsidR="002D5F70" w:rsidRDefault="00BD728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CF1C" w14:textId="77777777" w:rsidR="002D5F70" w:rsidRDefault="00BD728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03720BD" w14:textId="77777777" w:rsidR="002D5F70" w:rsidRDefault="002D5F70">
    <w:pPr>
      <w:spacing w:after="160" w:line="240" w:lineRule="exact"/>
    </w:pPr>
  </w:p>
  <w:p w14:paraId="6DEFDC02" w14:textId="77777777" w:rsidR="002D5F70" w:rsidRDefault="002D5F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5F70" w14:paraId="0BD7F3F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82167" w14:textId="77777777" w:rsidR="002D5F70" w:rsidRDefault="00BD728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863CD0" w14:textId="77777777" w:rsidR="002D5F70" w:rsidRDefault="00BD728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B157" w14:textId="77777777" w:rsidR="002D5F70" w:rsidRDefault="00BD728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094E383E" w14:textId="77777777" w:rsidR="002D5F70" w:rsidRDefault="002D5F70">
    <w:pPr>
      <w:spacing w:after="160" w:line="240" w:lineRule="exact"/>
    </w:pPr>
  </w:p>
  <w:p w14:paraId="18D049A4" w14:textId="77777777" w:rsidR="002D5F70" w:rsidRDefault="002D5F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5F70" w14:paraId="573F38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A5C504" w14:textId="77777777" w:rsidR="002D5F70" w:rsidRDefault="00BD728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83D2EA" w14:textId="77777777" w:rsidR="002D5F70" w:rsidRDefault="00BD728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A7372" w14:textId="77777777" w:rsidR="002D5F70" w:rsidRDefault="00BD728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7AB94C3" w14:textId="77777777" w:rsidR="002D5F70" w:rsidRDefault="002D5F70">
    <w:pPr>
      <w:spacing w:after="160" w:line="240" w:lineRule="exact"/>
    </w:pPr>
  </w:p>
  <w:p w14:paraId="4C76C718" w14:textId="77777777" w:rsidR="002D5F70" w:rsidRDefault="002D5F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5F70" w14:paraId="17A032D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C0BDC9" w14:textId="77777777" w:rsidR="002D5F70" w:rsidRDefault="00BD728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3D883C" w14:textId="77777777" w:rsidR="002D5F70" w:rsidRDefault="00BD728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E5866" w14:textId="77777777" w:rsidR="002D5F70" w:rsidRDefault="002D5F70">
    <w:pPr>
      <w:spacing w:after="160" w:line="240" w:lineRule="exact"/>
    </w:pPr>
  </w:p>
  <w:p w14:paraId="20C1FA27" w14:textId="77777777" w:rsidR="002D5F70" w:rsidRDefault="002D5F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5F70" w14:paraId="6474C1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A66D61" w14:textId="77777777" w:rsidR="002D5F70" w:rsidRDefault="00BD728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EF975" w14:textId="77777777" w:rsidR="002D5F70" w:rsidRDefault="00BD728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D0E6" w14:textId="77777777" w:rsidR="002D5F70" w:rsidRDefault="00BD728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F2EB52F" w14:textId="77777777" w:rsidR="002D5F70" w:rsidRDefault="002D5F70">
    <w:pPr>
      <w:spacing w:after="160" w:line="240" w:lineRule="exact"/>
    </w:pPr>
  </w:p>
  <w:p w14:paraId="6DE9BDAA" w14:textId="77777777" w:rsidR="002D5F70" w:rsidRDefault="002D5F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5F70" w14:paraId="52BC79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1E0AAF" w14:textId="77777777" w:rsidR="002D5F70" w:rsidRDefault="00BD728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8CB305" w14:textId="77777777" w:rsidR="002D5F70" w:rsidRDefault="00BD728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5F70" w14:paraId="221D632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7B902F" w14:textId="77777777" w:rsidR="002D5F70" w:rsidRDefault="00BD728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DISPDIJ25007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57246E" w14:textId="77777777" w:rsidR="002D5F70" w:rsidRDefault="00BD728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12FB5" w14:textId="77777777" w:rsidR="00BD728B" w:rsidRDefault="00BD728B">
      <w:r>
        <w:separator/>
      </w:r>
    </w:p>
  </w:footnote>
  <w:footnote w:type="continuationSeparator" w:id="0">
    <w:p w14:paraId="2C5445A6" w14:textId="77777777" w:rsidR="00BD728B" w:rsidRDefault="00BD7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70"/>
    <w:rsid w:val="001051C1"/>
    <w:rsid w:val="002D5F70"/>
    <w:rsid w:val="006A0CF6"/>
    <w:rsid w:val="00BB29D0"/>
    <w:rsid w:val="00BD728B"/>
    <w:rsid w:val="00E8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1E4A4B"/>
  <w15:docId w15:val="{E3278786-8093-4FDA-8A68-08CE5FC5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1051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051C1"/>
    <w:rPr>
      <w:sz w:val="24"/>
      <w:szCs w:val="24"/>
    </w:rPr>
  </w:style>
  <w:style w:type="paragraph" w:styleId="Pieddepage0">
    <w:name w:val="footer"/>
    <w:basedOn w:val="Normal"/>
    <w:link w:val="PieddepageCar"/>
    <w:rsid w:val="001051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051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2555</Words>
  <Characters>13535</Characters>
  <Application>Microsoft Office Word</Application>
  <DocSecurity>0</DocSecurity>
  <Lines>112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LECHENAULT Murielle</dc:creator>
  <cp:lastModifiedBy>LECHENAULT Murielle</cp:lastModifiedBy>
  <cp:revision>2</cp:revision>
  <dcterms:created xsi:type="dcterms:W3CDTF">2025-06-27T13:41:00Z</dcterms:created>
  <dcterms:modified xsi:type="dcterms:W3CDTF">2025-06-27T13:41:00Z</dcterms:modified>
</cp:coreProperties>
</file>